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3D06F2" w:rsidRPr="003D06F2" w:rsidTr="00F61153">
        <w:trPr>
          <w:trHeight w:val="695"/>
        </w:trPr>
        <w:tc>
          <w:tcPr>
            <w:tcW w:w="445" w:type="dxa"/>
            <w:vAlign w:val="center"/>
          </w:tcPr>
          <w:p w:rsidR="00F60DE9" w:rsidRPr="003D06F2" w:rsidRDefault="003D06F2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F60DE9" w:rsidRPr="003D06F2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60DE9" w:rsidRPr="003D06F2" w:rsidRDefault="006839E8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FAHRENHEIT-182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Mark Hoppus with Dan </w:t>
            </w:r>
            <w:proofErr w:type="spellStart"/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Ozzi</w:t>
            </w:r>
            <w:proofErr w:type="spellEnd"/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. The singer and bassist for the pop-punk band Blink-182 looks back at moments from his life and career.</w:t>
            </w:r>
          </w:p>
        </w:tc>
        <w:tc>
          <w:tcPr>
            <w:tcW w:w="355" w:type="dxa"/>
            <w:vAlign w:val="center"/>
          </w:tcPr>
          <w:p w:rsidR="00F60DE9" w:rsidRPr="003D06F2" w:rsidRDefault="008476EA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3D06F2" w:rsidRDefault="008476EA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D06F2" w:rsidRPr="003D06F2" w:rsidTr="00C94ABC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3D06F2" w:rsidRPr="003D06F2" w:rsidRDefault="003D06F2" w:rsidP="00C94ABC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C94ABC" w:rsidRPr="003D06F2" w:rsidRDefault="00C94ABC" w:rsidP="00C94ABC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BC" w:rsidRPr="003D06F2" w:rsidRDefault="006839E8" w:rsidP="00C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ON DEMOCRACIES AND DEATH CULTS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, by Douglas Murray. The author of “The War on the West” gives his perspective on the conflict between Israel and Hamas.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C94ABC" w:rsidRPr="003D06F2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94ABC" w:rsidRPr="003D06F2" w:rsidRDefault="008476EA" w:rsidP="00C94ABC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D06F2" w:rsidRPr="003D06F2" w:rsidTr="00E74162">
        <w:trPr>
          <w:trHeight w:val="758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FIGHT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, by Jonathan Allen and Amie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Parnes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>. The authors of “Shattered” give an account of the 2024 presidential campaigns.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3D06F2" w:rsidRPr="003D06F2" w:rsidTr="009E235D">
        <w:trPr>
          <w:trHeight w:val="472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ABUNDANCE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>
              <w:rPr>
                <w:rFonts w:ascii="Arial Narrow" w:hAnsi="Arial Narrow" w:cs="Times New Roman"/>
                <w:b/>
                <w:sz w:val="18"/>
                <w:szCs w:val="19"/>
              </w:rPr>
              <w:t>4</w:t>
            </w:r>
          </w:p>
        </w:tc>
      </w:tr>
      <w:tr w:rsidR="003D06F2" w:rsidRPr="003D06F2" w:rsidTr="00E74162">
        <w:trPr>
          <w:trHeight w:val="749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WHO IS </w:t>
            </w:r>
            <w:proofErr w:type="gramStart"/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GOVERNMENT?,</w:t>
            </w:r>
            <w:proofErr w:type="gramEnd"/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 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edited by Michael Lewis. Essays by Casey Cep, Dave Eggers, John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Lanchester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, Geraldine Brooks, Sarah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Vowell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>, W. Kamau Bell and Michael Lewis illuminate the work of federal employees and the business of government</w:t>
            </w: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</w:t>
            </w:r>
          </w:p>
        </w:tc>
      </w:tr>
      <w:tr w:rsidR="003D06F2" w:rsidRPr="003D06F2" w:rsidTr="008609BB">
        <w:trPr>
          <w:trHeight w:val="704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55</w:t>
            </w:r>
          </w:p>
        </w:tc>
      </w:tr>
      <w:tr w:rsidR="003D06F2" w:rsidRPr="003D06F2" w:rsidTr="00E74162">
        <w:trPr>
          <w:trHeight w:val="740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UNCHARTED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, by Chris Whipple. The author of “The Gatekeepers” shares anecdotes and insights from the 2024 presidential election.</w:t>
            </w:r>
          </w:p>
        </w:tc>
        <w:tc>
          <w:tcPr>
            <w:tcW w:w="355" w:type="dxa"/>
            <w:vAlign w:val="center"/>
          </w:tcPr>
          <w:p w:rsidR="006839E8" w:rsidRPr="003D06F2" w:rsidRDefault="006839E8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839E8" w:rsidRPr="003D06F2" w:rsidRDefault="006839E8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D06F2" w:rsidRPr="003D06F2" w:rsidTr="00E74162">
        <w:trPr>
          <w:trHeight w:val="758"/>
        </w:trPr>
        <w:tc>
          <w:tcPr>
            <w:tcW w:w="445" w:type="dxa"/>
            <w:vAlign w:val="center"/>
          </w:tcPr>
          <w:p w:rsidR="003D06F2" w:rsidRPr="003D06F2" w:rsidRDefault="003D06F2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JOHN &amp; PAUL,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Ian Leslie. The 23-year relationship between John Lennon and Paul McCartney is viewed through the lens of the songs they wrote together.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D06F2" w:rsidRPr="003D06F2" w:rsidTr="00E74162">
        <w:trPr>
          <w:trHeight w:val="695"/>
        </w:trPr>
        <w:tc>
          <w:tcPr>
            <w:tcW w:w="445" w:type="dxa"/>
            <w:vAlign w:val="center"/>
          </w:tcPr>
          <w:p w:rsidR="006839E8" w:rsidRPr="003D06F2" w:rsidRDefault="003D06F2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6839E8" w:rsidRPr="003D06F2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EVERYTHING IS TUBERCULOSIS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3D06F2" w:rsidRPr="003D06F2" w:rsidTr="006839E8">
        <w:trPr>
          <w:trHeight w:val="740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CARELESS PEOPLE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Sarah Wynn-Williams. A former Facebook executive gives an account of policies and leadership at the social media platform.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sz w:val="20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5</w:t>
            </w:r>
          </w:p>
        </w:tc>
      </w:tr>
      <w:tr w:rsidR="003D06F2" w:rsidRPr="003D06F2" w:rsidTr="00E74162">
        <w:trPr>
          <w:trHeight w:val="758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I AM MARIA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, by Maria Shriver. The Peabody and Emmy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Awardwinning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 journalist and producer weaves together life reflections with poems.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3D06F2" w:rsidRPr="003D06F2" w:rsidTr="00E74162">
        <w:trPr>
          <w:trHeight w:val="515"/>
        </w:trPr>
        <w:tc>
          <w:tcPr>
            <w:tcW w:w="445" w:type="dxa"/>
            <w:vAlign w:val="center"/>
          </w:tcPr>
          <w:p w:rsidR="003D06F2" w:rsidRDefault="003D06F2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AUTISM OUT LOUD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Kate Swenson, Carrie Cariello and Adrian Wood. Three women from different backgrounds share their stories of raising a child with autism.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3D06F2" w:rsidRPr="003D06F2" w:rsidTr="00E74162">
        <w:trPr>
          <w:trHeight w:val="758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NO MORE TEARS, 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by Gardiner Harris. The investigative journalist brings to light the corporate practices of the pharmaceutical company Johnson &amp; Johnson.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3D06F2" w:rsidRPr="003D06F2" w:rsidTr="00E74162">
        <w:trPr>
          <w:trHeight w:val="686"/>
        </w:trPr>
        <w:tc>
          <w:tcPr>
            <w:tcW w:w="445" w:type="dxa"/>
            <w:vAlign w:val="center"/>
          </w:tcPr>
          <w:p w:rsidR="003D06F2" w:rsidRDefault="003D06F2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N/A</w:t>
            </w:r>
          </w:p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ECHO MACHINE, 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by David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Pakman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>. The podcast host assesses a cycle of reactionary political ideology in an era of polarization.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3D06F2" w:rsidRPr="003D06F2" w:rsidTr="006839E8">
        <w:trPr>
          <w:trHeight w:val="488"/>
        </w:trPr>
        <w:tc>
          <w:tcPr>
            <w:tcW w:w="445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97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3D06F2" w:rsidRPr="003D06F2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3D06F2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3D06F2" w:rsidRDefault="004E0F4A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SAY YOU'LL REMEMBER ME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Abby Jimenez. Despite having a great date, Samantha asks a veterinarian to forget about her because her family is in crisis.</w:t>
            </w:r>
          </w:p>
        </w:tc>
        <w:tc>
          <w:tcPr>
            <w:tcW w:w="270" w:type="dxa"/>
            <w:vAlign w:val="center"/>
          </w:tcPr>
          <w:p w:rsidR="00980C94" w:rsidRPr="003D06F2" w:rsidRDefault="003D06F2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980C94" w:rsidRPr="003D06F2" w:rsidRDefault="003D06F2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8476EA" w:rsidRPr="008476EA" w:rsidTr="00E74162">
        <w:trPr>
          <w:trHeight w:val="683"/>
        </w:trPr>
        <w:tc>
          <w:tcPr>
            <w:tcW w:w="414" w:type="dxa"/>
            <w:vAlign w:val="center"/>
          </w:tcPr>
          <w:p w:rsidR="004E0F4A" w:rsidRPr="003D06F2" w:rsidRDefault="008476E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4E0F4A" w:rsidRPr="003D06F2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4E0F4A" w:rsidRPr="003D06F2" w:rsidRDefault="006839E8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BLOOD OF HERCULES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, by Jasmine Mas. A reimagining of the story of Hercules in which the protagonist is forced to attend the Spartan War Academy.</w:t>
            </w:r>
          </w:p>
        </w:tc>
        <w:tc>
          <w:tcPr>
            <w:tcW w:w="270" w:type="dxa"/>
            <w:vAlign w:val="center"/>
          </w:tcPr>
          <w:p w:rsidR="004E0F4A" w:rsidRPr="003D06F2" w:rsidRDefault="003D06F2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4E0F4A" w:rsidRPr="003D06F2" w:rsidRDefault="000A0D37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8476EA" w:rsidRPr="008476EA" w:rsidTr="003D06F2">
        <w:trPr>
          <w:trHeight w:val="683"/>
        </w:trPr>
        <w:tc>
          <w:tcPr>
            <w:tcW w:w="414" w:type="dxa"/>
            <w:vAlign w:val="center"/>
          </w:tcPr>
          <w:p w:rsidR="008476EA" w:rsidRPr="003D06F2" w:rsidRDefault="008476E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4E0F4A" w:rsidRPr="003D06F2" w:rsidRDefault="004E0F4A" w:rsidP="004E0F4A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4E0F4A" w:rsidRPr="003D06F2" w:rsidRDefault="006839E8" w:rsidP="004E0F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FIREBIRD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, by Juliette Cross. A Roman general who can transform into a dragon and a Dacian dancer discover that their love may bring about pain.</w:t>
            </w:r>
          </w:p>
        </w:tc>
        <w:tc>
          <w:tcPr>
            <w:tcW w:w="270" w:type="dxa"/>
            <w:vAlign w:val="center"/>
          </w:tcPr>
          <w:p w:rsidR="004E0F4A" w:rsidRPr="003D06F2" w:rsidRDefault="003D06F2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4E0F4A" w:rsidRPr="003D06F2" w:rsidRDefault="003D06F2" w:rsidP="004E0F4A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839E8" w:rsidRPr="008476EA" w:rsidTr="00E74162">
        <w:trPr>
          <w:trHeight w:val="773"/>
        </w:trPr>
        <w:tc>
          <w:tcPr>
            <w:tcW w:w="414" w:type="dxa"/>
            <w:vAlign w:val="center"/>
          </w:tcPr>
          <w:p w:rsidR="006839E8" w:rsidRPr="008476EA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6839E8" w:rsidRPr="008476EA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6839E8" w:rsidRPr="008476EA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6839E8" w:rsidRPr="008476EA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</w:tr>
      <w:tr w:rsidR="006839E8" w:rsidRPr="008476EA" w:rsidTr="006839E8">
        <w:trPr>
          <w:trHeight w:val="764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BROKEN COUNTRY,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6839E8" w:rsidRPr="008476EA" w:rsidTr="00E74162">
        <w:trPr>
          <w:trHeight w:val="764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75</w:t>
            </w:r>
          </w:p>
        </w:tc>
      </w:tr>
      <w:tr w:rsidR="006839E8" w:rsidRPr="008476EA" w:rsidTr="0019764E">
        <w:trPr>
          <w:trHeight w:val="697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BUTCHER'S MASQUERADE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Matt </w:t>
            </w:r>
            <w:proofErr w:type="spellStart"/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Dinniman</w:t>
            </w:r>
            <w:proofErr w:type="spellEnd"/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. The fifth book in the Dungeon Crawler Carl series. The action moves to the sixth floor, which is known as the Hunting Grounds.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839E8" w:rsidRPr="008476EA" w:rsidTr="00203948">
        <w:trPr>
          <w:trHeight w:val="707"/>
        </w:trPr>
        <w:tc>
          <w:tcPr>
            <w:tcW w:w="414" w:type="dxa"/>
            <w:vAlign w:val="center"/>
          </w:tcPr>
          <w:p w:rsidR="003D06F2" w:rsidRPr="003D06F2" w:rsidRDefault="003D06F2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NEVER LIST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Jade Presley. Four immortal god-princes try to make Rylee Gray fall for all of them to prevent the kingdom of </w:t>
            </w:r>
            <w:proofErr w:type="spellStart"/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Lumathyst</w:t>
            </w:r>
            <w:proofErr w:type="spellEnd"/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from falling into ruin.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6839E8" w:rsidRPr="008476EA" w:rsidTr="005D57CF">
        <w:trPr>
          <w:trHeight w:val="750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SUMMER IN THE CITY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Alex Aster. A screenwriter seeking inspiration coincidentally moves next door to the billionaire with whom she hooked up a couple years ago.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6839E8" w:rsidRPr="008476EA" w:rsidTr="00A31629">
        <w:trPr>
          <w:trHeight w:val="746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GRIFFIN SISTERS' GREATEST HITS, </w:t>
            </w:r>
            <w:r w:rsidRPr="003D06F2">
              <w:rPr>
                <w:rFonts w:ascii="Arial Narrow" w:hAnsi="Arial Narrow" w:cs="Arial"/>
                <w:color w:val="006600"/>
                <w:sz w:val="19"/>
                <w:szCs w:val="19"/>
              </w:rPr>
              <w:t>by Jennifer Weiner. Two decades after a pop duo broke up, facets of their familial and working relationships are seen in a different light.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--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3D06F2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1</w:t>
            </w:r>
          </w:p>
        </w:tc>
      </w:tr>
      <w:tr w:rsidR="006839E8" w:rsidRPr="008476EA" w:rsidTr="00E74162">
        <w:trPr>
          <w:trHeight w:val="773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92</w:t>
            </w:r>
          </w:p>
        </w:tc>
      </w:tr>
      <w:tr w:rsidR="006839E8" w:rsidRPr="008476EA" w:rsidTr="00560B13">
        <w:trPr>
          <w:trHeight w:val="698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3D06F2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3D06F2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24</w:t>
            </w:r>
          </w:p>
        </w:tc>
      </w:tr>
      <w:tr w:rsidR="006839E8" w:rsidRPr="004D6FFD" w:rsidTr="00613C38">
        <w:trPr>
          <w:trHeight w:val="688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62</w:t>
            </w:r>
          </w:p>
        </w:tc>
      </w:tr>
      <w:tr w:rsidR="006839E8" w:rsidRPr="009C1CA1" w:rsidTr="00C3002B">
        <w:trPr>
          <w:trHeight w:val="683"/>
        </w:trPr>
        <w:tc>
          <w:tcPr>
            <w:tcW w:w="414" w:type="dxa"/>
            <w:vAlign w:val="center"/>
          </w:tcPr>
          <w:p w:rsidR="006839E8" w:rsidRPr="003D06F2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3D06F2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6839E8" w:rsidRPr="003D06F2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3D06F2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3D06F2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6839E8" w:rsidRPr="003D06F2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41</w:t>
            </w:r>
          </w:p>
        </w:tc>
      </w:tr>
      <w:tr w:rsidR="006839E8" w:rsidRPr="009C1CA1" w:rsidTr="004E0F4A">
        <w:trPr>
          <w:trHeight w:val="674"/>
        </w:trPr>
        <w:tc>
          <w:tcPr>
            <w:tcW w:w="414" w:type="dxa"/>
            <w:shd w:val="clear" w:color="auto" w:fill="auto"/>
            <w:vAlign w:val="center"/>
          </w:tcPr>
          <w:p w:rsidR="006839E8" w:rsidRPr="008476EA" w:rsidRDefault="006839E8" w:rsidP="006839E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476EA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6839E8" w:rsidRPr="008476EA" w:rsidRDefault="006839E8" w:rsidP="00683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476EA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8476EA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8476EA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839E8" w:rsidRPr="008476EA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839E8" w:rsidRPr="008476EA" w:rsidRDefault="003D06F2" w:rsidP="006839E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39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  <w:r w:rsidR="00D85C77">
        <w:rPr>
          <w:rFonts w:ascii="Arial Narrow" w:eastAsia="Times New Roman" w:hAnsi="Arial Narrow"/>
          <w:sz w:val="19"/>
          <w:szCs w:val="19"/>
        </w:rPr>
        <w:t>X</w:t>
      </w:r>
      <w:bookmarkStart w:id="0" w:name="_GoBack"/>
      <w:bookmarkEnd w:id="0"/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C3002B">
      <w:rPr>
        <w:rFonts w:ascii="Arial Narrow" w:hAnsi="Arial Narrow"/>
        <w:b/>
      </w:rPr>
      <w:t xml:space="preserve">April </w:t>
    </w:r>
    <w:r w:rsidR="006839E8">
      <w:rPr>
        <w:rFonts w:ascii="Arial Narrow" w:hAnsi="Arial Narrow"/>
        <w:b/>
      </w:rPr>
      <w:t>27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09"/>
    <o:shapelayout v:ext="edit">
      <o:idmap v:ext="edit" data="1"/>
    </o:shapelayout>
  </w:shapeDefaults>
  <w:decimalSymbol w:val="."/>
  <w:listSeparator w:val=";"/>
  <w14:docId w14:val="28186891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CFD7-2A55-463E-9C02-C863F12E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5318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3</cp:revision>
  <cp:lastPrinted>2025-04-28T12:43:00Z</cp:lastPrinted>
  <dcterms:created xsi:type="dcterms:W3CDTF">2025-04-28T12:42:00Z</dcterms:created>
  <dcterms:modified xsi:type="dcterms:W3CDTF">2025-04-28T13:16:00Z</dcterms:modified>
</cp:coreProperties>
</file>